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F" w:rsidRDefault="00DF2F2B">
      <w:pPr>
        <w:pStyle w:val="BodyText"/>
        <w:ind w:left="34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696579" cy="2368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579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3F" w:rsidRDefault="00DF2F2B">
      <w:pPr>
        <w:pStyle w:val="Title"/>
      </w:pPr>
      <w:r>
        <w:rPr>
          <w:color w:val="5E0069"/>
        </w:rPr>
        <w:t>Annual</w:t>
      </w:r>
      <w:r>
        <w:rPr>
          <w:color w:val="5E0069"/>
          <w:spacing w:val="-4"/>
        </w:rPr>
        <w:t xml:space="preserve"> </w:t>
      </w:r>
      <w:r>
        <w:rPr>
          <w:color w:val="5E0069"/>
        </w:rPr>
        <w:t>Security</w:t>
      </w:r>
      <w:r>
        <w:rPr>
          <w:color w:val="5E0069"/>
          <w:spacing w:val="-4"/>
        </w:rPr>
        <w:t xml:space="preserve"> </w:t>
      </w:r>
      <w:r>
        <w:rPr>
          <w:color w:val="5E0069"/>
        </w:rPr>
        <w:t>Report</w:t>
      </w:r>
      <w:r>
        <w:rPr>
          <w:color w:val="5E0069"/>
          <w:spacing w:val="2"/>
        </w:rPr>
        <w:t xml:space="preserve"> </w:t>
      </w:r>
      <w:r>
        <w:rPr>
          <w:color w:val="5E0069"/>
        </w:rPr>
        <w:t>2021</w:t>
      </w:r>
      <w:bookmarkStart w:id="0" w:name="_GoBack"/>
      <w:bookmarkEnd w:id="0"/>
    </w:p>
    <w:p w:rsidR="00E7603F" w:rsidRDefault="00DF2F2B">
      <w:pPr>
        <w:pStyle w:val="BodyText"/>
        <w:spacing w:before="340"/>
      </w:pPr>
      <w:r>
        <w:rPr>
          <w:color w:val="003A39"/>
        </w:rPr>
        <w:t>MCOM's</w:t>
      </w:r>
      <w:r>
        <w:rPr>
          <w:color w:val="003A39"/>
          <w:spacing w:val="-5"/>
        </w:rPr>
        <w:t xml:space="preserve"> </w:t>
      </w:r>
      <w:r>
        <w:rPr>
          <w:color w:val="003A39"/>
        </w:rPr>
        <w:t>annual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security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report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is</w:t>
      </w:r>
      <w:r>
        <w:rPr>
          <w:color w:val="003A39"/>
          <w:spacing w:val="-4"/>
        </w:rPr>
        <w:t xml:space="preserve"> </w:t>
      </w:r>
      <w:r>
        <w:rPr>
          <w:color w:val="003A39"/>
        </w:rPr>
        <w:t>available.</w:t>
      </w:r>
      <w:r>
        <w:rPr>
          <w:color w:val="003A39"/>
          <w:spacing w:val="-4"/>
        </w:rPr>
        <w:t xml:space="preserve"> </w:t>
      </w:r>
      <w:r>
        <w:rPr>
          <w:color w:val="003A39"/>
        </w:rPr>
        <w:t>This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report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is</w:t>
      </w:r>
      <w:r>
        <w:rPr>
          <w:color w:val="003A39"/>
          <w:spacing w:val="-4"/>
        </w:rPr>
        <w:t xml:space="preserve"> </w:t>
      </w:r>
      <w:r>
        <w:rPr>
          <w:color w:val="003A39"/>
        </w:rPr>
        <w:t>required</w:t>
      </w:r>
      <w:r>
        <w:rPr>
          <w:color w:val="003A39"/>
          <w:spacing w:val="-4"/>
        </w:rPr>
        <w:t xml:space="preserve"> </w:t>
      </w:r>
      <w:r>
        <w:rPr>
          <w:color w:val="003A39"/>
        </w:rPr>
        <w:t>by</w:t>
      </w:r>
      <w:r>
        <w:rPr>
          <w:color w:val="003A39"/>
          <w:spacing w:val="-79"/>
        </w:rPr>
        <w:t xml:space="preserve"> </w:t>
      </w:r>
      <w:r>
        <w:rPr>
          <w:color w:val="003A39"/>
        </w:rPr>
        <w:t>federal law and contains policy statements and crime statistics for</w:t>
      </w:r>
      <w:r>
        <w:rPr>
          <w:color w:val="003A39"/>
          <w:spacing w:val="1"/>
        </w:rPr>
        <w:t xml:space="preserve"> </w:t>
      </w:r>
      <w:r>
        <w:rPr>
          <w:color w:val="003A39"/>
        </w:rPr>
        <w:t>both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of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the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school's</w:t>
      </w:r>
      <w:r>
        <w:rPr>
          <w:color w:val="003A39"/>
          <w:spacing w:val="-1"/>
        </w:rPr>
        <w:t xml:space="preserve"> </w:t>
      </w:r>
      <w:r>
        <w:rPr>
          <w:color w:val="003A39"/>
        </w:rPr>
        <w:t>campuses.</w:t>
      </w:r>
    </w:p>
    <w:p w:rsidR="00E7603F" w:rsidRDefault="00E7603F">
      <w:pPr>
        <w:pStyle w:val="BodyText"/>
        <w:spacing w:before="12"/>
        <w:ind w:left="0"/>
        <w:rPr>
          <w:sz w:val="23"/>
        </w:rPr>
      </w:pPr>
    </w:p>
    <w:p w:rsidR="00E7603F" w:rsidRDefault="00DF2F2B">
      <w:pPr>
        <w:pStyle w:val="BodyText"/>
        <w:ind w:right="191"/>
      </w:pPr>
      <w:r>
        <w:rPr>
          <w:color w:val="003A39"/>
        </w:rPr>
        <w:t>The policy statements address the school'</w:t>
      </w:r>
      <w:r>
        <w:rPr>
          <w:color w:val="003A39"/>
        </w:rPr>
        <w:t>s policies, procedures and</w:t>
      </w:r>
      <w:r>
        <w:rPr>
          <w:color w:val="003A39"/>
          <w:spacing w:val="-80"/>
        </w:rPr>
        <w:t xml:space="preserve"> </w:t>
      </w:r>
      <w:r>
        <w:rPr>
          <w:color w:val="003A39"/>
        </w:rPr>
        <w:t>programs concerning safety and security and are identified in the</w:t>
      </w:r>
      <w:r>
        <w:rPr>
          <w:color w:val="003A39"/>
          <w:spacing w:val="1"/>
        </w:rPr>
        <w:t xml:space="preserve"> </w:t>
      </w:r>
      <w:r>
        <w:rPr>
          <w:color w:val="003A39"/>
        </w:rPr>
        <w:t>student handbook and the Emergency Action Plan.</w:t>
      </w:r>
      <w:r>
        <w:rPr>
          <w:color w:val="003A39"/>
          <w:spacing w:val="1"/>
        </w:rPr>
        <w:t xml:space="preserve"> </w:t>
      </w:r>
      <w:r>
        <w:rPr>
          <w:color w:val="003A39"/>
        </w:rPr>
        <w:t>For example,</w:t>
      </w:r>
      <w:r>
        <w:rPr>
          <w:color w:val="003A39"/>
          <w:spacing w:val="1"/>
        </w:rPr>
        <w:t xml:space="preserve"> </w:t>
      </w:r>
      <w:r>
        <w:rPr>
          <w:color w:val="003A39"/>
        </w:rPr>
        <w:t>policies such as responding to emergency situations can be found in</w:t>
      </w:r>
      <w:r>
        <w:rPr>
          <w:color w:val="003A39"/>
          <w:spacing w:val="-80"/>
        </w:rPr>
        <w:t xml:space="preserve"> </w:t>
      </w:r>
      <w:r>
        <w:rPr>
          <w:color w:val="003A39"/>
        </w:rPr>
        <w:t>the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Emergency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Action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Plan</w:t>
      </w:r>
      <w:r>
        <w:rPr>
          <w:color w:val="003A39"/>
          <w:spacing w:val="-1"/>
        </w:rPr>
        <w:t xml:space="preserve"> </w:t>
      </w:r>
      <w:r>
        <w:rPr>
          <w:color w:val="003A39"/>
        </w:rPr>
        <w:t>and</w:t>
      </w:r>
      <w:r>
        <w:rPr>
          <w:color w:val="003A39"/>
          <w:spacing w:val="-1"/>
        </w:rPr>
        <w:t xml:space="preserve"> </w:t>
      </w:r>
      <w:r>
        <w:rPr>
          <w:color w:val="003A39"/>
        </w:rPr>
        <w:t>policies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referring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to</w:t>
      </w:r>
      <w:r>
        <w:rPr>
          <w:color w:val="003A39"/>
          <w:spacing w:val="-1"/>
        </w:rPr>
        <w:t xml:space="preserve"> </w:t>
      </w:r>
      <w:r>
        <w:rPr>
          <w:color w:val="003A39"/>
        </w:rPr>
        <w:t>sexual</w:t>
      </w:r>
    </w:p>
    <w:p w:rsidR="00E7603F" w:rsidRDefault="00DF2F2B">
      <w:pPr>
        <w:pStyle w:val="BodyText"/>
        <w:spacing w:before="1"/>
      </w:pPr>
      <w:proofErr w:type="gramStart"/>
      <w:r>
        <w:rPr>
          <w:color w:val="003A39"/>
        </w:rPr>
        <w:t>offenses</w:t>
      </w:r>
      <w:proofErr w:type="gramEnd"/>
      <w:r>
        <w:rPr>
          <w:color w:val="003A39"/>
          <w:spacing w:val="-4"/>
        </w:rPr>
        <w:t xml:space="preserve"> </w:t>
      </w:r>
      <w:r>
        <w:rPr>
          <w:color w:val="003A39"/>
        </w:rPr>
        <w:t>can</w:t>
      </w:r>
      <w:r>
        <w:rPr>
          <w:color w:val="003A39"/>
          <w:spacing w:val="-5"/>
        </w:rPr>
        <w:t xml:space="preserve"> </w:t>
      </w:r>
      <w:r>
        <w:rPr>
          <w:color w:val="003A39"/>
        </w:rPr>
        <w:t>be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located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in</w:t>
      </w:r>
      <w:r>
        <w:rPr>
          <w:color w:val="003A39"/>
          <w:spacing w:val="-5"/>
        </w:rPr>
        <w:t xml:space="preserve"> </w:t>
      </w:r>
      <w:r>
        <w:rPr>
          <w:color w:val="003A39"/>
        </w:rPr>
        <w:t>the</w:t>
      </w:r>
      <w:r>
        <w:rPr>
          <w:color w:val="003A39"/>
          <w:spacing w:val="-5"/>
        </w:rPr>
        <w:t xml:space="preserve"> </w:t>
      </w:r>
      <w:r>
        <w:rPr>
          <w:color w:val="003A39"/>
        </w:rPr>
        <w:t>student</w:t>
      </w:r>
      <w:r>
        <w:rPr>
          <w:color w:val="003A39"/>
          <w:spacing w:val="-4"/>
        </w:rPr>
        <w:t xml:space="preserve"> </w:t>
      </w:r>
      <w:r>
        <w:rPr>
          <w:color w:val="003A39"/>
        </w:rPr>
        <w:t>handbook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on</w:t>
      </w:r>
      <w:r>
        <w:rPr>
          <w:color w:val="003A39"/>
          <w:spacing w:val="1"/>
        </w:rPr>
        <w:t xml:space="preserve"> </w:t>
      </w:r>
      <w:r>
        <w:rPr>
          <w:color w:val="003A39"/>
        </w:rPr>
        <w:t>pages</w:t>
      </w:r>
      <w:r>
        <w:rPr>
          <w:color w:val="003A39"/>
          <w:spacing w:val="-5"/>
        </w:rPr>
        <w:t xml:space="preserve"> </w:t>
      </w:r>
      <w:r>
        <w:rPr>
          <w:color w:val="003A39"/>
        </w:rPr>
        <w:t>49-57.</w:t>
      </w:r>
    </w:p>
    <w:p w:rsidR="00E7603F" w:rsidRDefault="00E7603F">
      <w:pPr>
        <w:pStyle w:val="BodyText"/>
        <w:ind w:left="0"/>
        <w:rPr>
          <w:sz w:val="28"/>
        </w:rPr>
      </w:pPr>
    </w:p>
    <w:p w:rsidR="00E7603F" w:rsidRDefault="00DF2F2B">
      <w:pPr>
        <w:pStyle w:val="BodyText"/>
        <w:spacing w:before="191"/>
        <w:ind w:right="222"/>
      </w:pPr>
      <w:r>
        <w:rPr>
          <w:color w:val="003A39"/>
        </w:rPr>
        <w:t>Additionally, three years' worth of statistics are included for certain</w:t>
      </w:r>
      <w:r>
        <w:rPr>
          <w:color w:val="003A39"/>
          <w:spacing w:val="-80"/>
        </w:rPr>
        <w:t xml:space="preserve"> </w:t>
      </w:r>
      <w:r>
        <w:rPr>
          <w:color w:val="003A39"/>
        </w:rPr>
        <w:t>types of crimes that were reported to have occurred on campus, in</w:t>
      </w:r>
      <w:r>
        <w:rPr>
          <w:color w:val="003A39"/>
          <w:spacing w:val="1"/>
        </w:rPr>
        <w:t xml:space="preserve"> </w:t>
      </w:r>
      <w:r>
        <w:rPr>
          <w:color w:val="003A39"/>
        </w:rPr>
        <w:t>or on off-campus buildin</w:t>
      </w:r>
      <w:r>
        <w:rPr>
          <w:color w:val="003A39"/>
        </w:rPr>
        <w:t>gs or property owned or controlled by the</w:t>
      </w:r>
      <w:r>
        <w:rPr>
          <w:color w:val="003A39"/>
          <w:spacing w:val="1"/>
        </w:rPr>
        <w:t xml:space="preserve"> </w:t>
      </w:r>
      <w:r>
        <w:rPr>
          <w:color w:val="003A39"/>
        </w:rPr>
        <w:t>school and on public property within or immediately adjacent to the</w:t>
      </w:r>
      <w:r>
        <w:rPr>
          <w:color w:val="003A39"/>
          <w:spacing w:val="-80"/>
        </w:rPr>
        <w:t xml:space="preserve"> </w:t>
      </w:r>
      <w:r>
        <w:rPr>
          <w:color w:val="003A39"/>
        </w:rPr>
        <w:t>campus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in</w:t>
      </w:r>
      <w:r>
        <w:rPr>
          <w:color w:val="003A39"/>
          <w:spacing w:val="-1"/>
        </w:rPr>
        <w:t xml:space="preserve"> </w:t>
      </w:r>
      <w:r>
        <w:rPr>
          <w:color w:val="003A39"/>
        </w:rPr>
        <w:t>both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Illinois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and</w:t>
      </w:r>
      <w:r>
        <w:rPr>
          <w:color w:val="003A39"/>
          <w:spacing w:val="-1"/>
        </w:rPr>
        <w:t xml:space="preserve"> </w:t>
      </w:r>
      <w:r>
        <w:rPr>
          <w:color w:val="003A39"/>
        </w:rPr>
        <w:t>Racine.</w:t>
      </w:r>
    </w:p>
    <w:p w:rsidR="00E7603F" w:rsidRDefault="00DF2F2B">
      <w:pPr>
        <w:pStyle w:val="BodyText"/>
        <w:spacing w:before="241" w:line="291" w:lineRule="exact"/>
      </w:pPr>
      <w:r>
        <w:rPr>
          <w:color w:val="003A39"/>
        </w:rPr>
        <w:t>This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report is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available</w:t>
      </w:r>
      <w:r>
        <w:rPr>
          <w:color w:val="003A39"/>
          <w:spacing w:val="-3"/>
        </w:rPr>
        <w:t xml:space="preserve"> </w:t>
      </w:r>
      <w:r>
        <w:rPr>
          <w:color w:val="003A39"/>
        </w:rPr>
        <w:t>online</w:t>
      </w:r>
    </w:p>
    <w:p w:rsidR="00E7603F" w:rsidRDefault="00DF2F2B">
      <w:pPr>
        <w:pStyle w:val="BodyText"/>
        <w:spacing w:line="291" w:lineRule="exact"/>
      </w:pPr>
      <w:proofErr w:type="gramStart"/>
      <w:r>
        <w:rPr>
          <w:color w:val="003A39"/>
        </w:rPr>
        <w:t>at</w:t>
      </w:r>
      <w:proofErr w:type="gramEnd"/>
      <w:hyperlink r:id="rId6"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http://ope.ed.gov/security/GetOneInstitutionData.aspx. 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</w:p>
    <w:p w:rsidR="00E7603F" w:rsidRDefault="00E7603F">
      <w:pPr>
        <w:pStyle w:val="BodyText"/>
        <w:spacing w:before="10"/>
        <w:ind w:left="0"/>
        <w:rPr>
          <w:sz w:val="15"/>
        </w:rPr>
      </w:pPr>
    </w:p>
    <w:p w:rsidR="00E7603F" w:rsidRDefault="00DF2F2B">
      <w:pPr>
        <w:pStyle w:val="BodyText"/>
        <w:spacing w:before="100"/>
        <w:ind w:right="813"/>
      </w:pPr>
      <w:r>
        <w:rPr>
          <w:color w:val="003A39"/>
        </w:rPr>
        <w:t>You may also request a paper copy from the Midwest College of</w:t>
      </w:r>
      <w:r>
        <w:rPr>
          <w:color w:val="003A39"/>
          <w:spacing w:val="-81"/>
        </w:rPr>
        <w:t xml:space="preserve"> </w:t>
      </w:r>
      <w:r>
        <w:rPr>
          <w:color w:val="003A39"/>
        </w:rPr>
        <w:t>Oriental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Medicine -</w:t>
      </w:r>
      <w:r>
        <w:rPr>
          <w:color w:val="003A39"/>
          <w:spacing w:val="-1"/>
        </w:rPr>
        <w:t xml:space="preserve"> </w:t>
      </w:r>
      <w:r>
        <w:rPr>
          <w:color w:val="003A39"/>
        </w:rPr>
        <w:t>Racine</w:t>
      </w:r>
      <w:r>
        <w:rPr>
          <w:color w:val="003A39"/>
          <w:spacing w:val="-2"/>
        </w:rPr>
        <w:t xml:space="preserve"> </w:t>
      </w:r>
      <w:r>
        <w:rPr>
          <w:color w:val="003A39"/>
        </w:rPr>
        <w:t>campus.</w:t>
      </w:r>
    </w:p>
    <w:p w:rsidR="00E7603F" w:rsidRDefault="00E7603F">
      <w:pPr>
        <w:pStyle w:val="BodyText"/>
        <w:spacing w:before="10"/>
        <w:ind w:left="0"/>
        <w:rPr>
          <w:sz w:val="22"/>
        </w:rPr>
      </w:pPr>
    </w:p>
    <w:p w:rsidR="00E7603F" w:rsidRDefault="00DF2F2B">
      <w:pPr>
        <w:spacing w:before="1"/>
        <w:ind w:left="100" w:right="2466"/>
        <w:rPr>
          <w:sz w:val="24"/>
        </w:rPr>
      </w:pPr>
      <w:r>
        <w:rPr>
          <w:color w:val="003A39"/>
          <w:sz w:val="24"/>
        </w:rPr>
        <w:t>Questions</w:t>
      </w:r>
      <w:r>
        <w:rPr>
          <w:color w:val="003A39"/>
          <w:spacing w:val="-6"/>
          <w:sz w:val="24"/>
        </w:rPr>
        <w:t xml:space="preserve"> </w:t>
      </w:r>
      <w:r>
        <w:rPr>
          <w:color w:val="003A39"/>
          <w:sz w:val="24"/>
        </w:rPr>
        <w:t>regarding</w:t>
      </w:r>
      <w:r>
        <w:rPr>
          <w:color w:val="003A39"/>
          <w:spacing w:val="-2"/>
          <w:sz w:val="24"/>
        </w:rPr>
        <w:t xml:space="preserve"> </w:t>
      </w:r>
      <w:r>
        <w:rPr>
          <w:color w:val="003A39"/>
          <w:sz w:val="24"/>
        </w:rPr>
        <w:t>this</w:t>
      </w:r>
      <w:r>
        <w:rPr>
          <w:color w:val="003A39"/>
          <w:spacing w:val="-3"/>
          <w:sz w:val="24"/>
        </w:rPr>
        <w:t xml:space="preserve"> </w:t>
      </w:r>
      <w:r>
        <w:rPr>
          <w:color w:val="003A39"/>
          <w:sz w:val="24"/>
        </w:rPr>
        <w:t>information</w:t>
      </w:r>
      <w:r>
        <w:rPr>
          <w:color w:val="003A39"/>
          <w:spacing w:val="-7"/>
          <w:sz w:val="24"/>
        </w:rPr>
        <w:t xml:space="preserve"> </w:t>
      </w:r>
      <w:r>
        <w:rPr>
          <w:color w:val="003A39"/>
          <w:sz w:val="24"/>
        </w:rPr>
        <w:t>can</w:t>
      </w:r>
      <w:r>
        <w:rPr>
          <w:color w:val="003A39"/>
          <w:spacing w:val="-4"/>
          <w:sz w:val="24"/>
        </w:rPr>
        <w:t xml:space="preserve"> </w:t>
      </w:r>
      <w:r>
        <w:rPr>
          <w:color w:val="003A39"/>
          <w:sz w:val="24"/>
        </w:rPr>
        <w:t>be</w:t>
      </w:r>
      <w:r>
        <w:rPr>
          <w:color w:val="003A39"/>
          <w:spacing w:val="-3"/>
          <w:sz w:val="24"/>
        </w:rPr>
        <w:t xml:space="preserve"> </w:t>
      </w:r>
      <w:r>
        <w:rPr>
          <w:color w:val="003A39"/>
          <w:sz w:val="24"/>
        </w:rPr>
        <w:t>sent</w:t>
      </w:r>
      <w:r>
        <w:rPr>
          <w:color w:val="003A39"/>
          <w:spacing w:val="2"/>
          <w:sz w:val="24"/>
        </w:rPr>
        <w:t xml:space="preserve"> </w:t>
      </w:r>
      <w:r>
        <w:rPr>
          <w:color w:val="003A39"/>
          <w:sz w:val="24"/>
        </w:rPr>
        <w:t>via</w:t>
      </w:r>
      <w:r>
        <w:rPr>
          <w:color w:val="003A39"/>
          <w:spacing w:val="-81"/>
          <w:sz w:val="24"/>
        </w:rPr>
        <w:t xml:space="preserve"> </w:t>
      </w:r>
      <w:r>
        <w:rPr>
          <w:color w:val="003A39"/>
          <w:sz w:val="24"/>
        </w:rPr>
        <w:t>email</w:t>
      </w:r>
      <w:r>
        <w:rPr>
          <w:color w:val="003A39"/>
          <w:spacing w:val="-3"/>
          <w:sz w:val="24"/>
        </w:rPr>
        <w:t xml:space="preserve"> </w:t>
      </w:r>
      <w:r>
        <w:rPr>
          <w:color w:val="003A39"/>
          <w:sz w:val="24"/>
        </w:rPr>
        <w:t>to:</w:t>
      </w:r>
      <w:r>
        <w:rPr>
          <w:color w:val="003A39"/>
          <w:spacing w:val="1"/>
          <w:sz w:val="24"/>
        </w:rPr>
        <w:t xml:space="preserve"> </w:t>
      </w:r>
      <w:hyperlink r:id="rId7">
        <w:r>
          <w:rPr>
            <w:color w:val="003A39"/>
            <w:sz w:val="24"/>
            <w:u w:val="single" w:color="003A39"/>
          </w:rPr>
          <w:t>mwcfinancialaid@aol.com.</w:t>
        </w:r>
      </w:hyperlink>
    </w:p>
    <w:sectPr w:rsidR="00E7603F">
      <w:type w:val="continuous"/>
      <w:pgSz w:w="12240" w:h="15840"/>
      <w:pgMar w:top="1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03F"/>
    <w:rsid w:val="00DF2F2B"/>
    <w:rsid w:val="00E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5"/>
      <w:ind w:left="1457" w:right="154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2B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5"/>
      <w:ind w:left="1457" w:right="154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2B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cfinancialaid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oPKcA_vhShOplvTfdpc3hTCjE0ZSRWX99d1dP-MaGd3G4FRXhVurthj5i-gtTZqB5TFRYXCk9cqHWPE3GN3TghdL5qPaLFxk9Qmn6VqbA0klSzmjrvKvjJK3093mkVYteWjMQbSJAL70VyWqt78vsFZXJMEqMQS96NDDjEd9TQsZCIB4XbUqH5b7ZQwf8RQPDKqCgMsrW2NY6AlYbhGsHg%3D%3D&amp;c=UNB4dEeJIVhRbheI91k3pNNmM3kmEM9ARP6cJcwhT9aU1-RUm_98Lw%3D%3D&amp;ch=jUW1FL-DtzcBGnVPGvQEvDE-_rf_nZAKMx9Nxkt--49EKtBCVVh_Ig%3D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Dunbar PhD</dc:creator>
  <cp:lastModifiedBy>William Dunbar PhD</cp:lastModifiedBy>
  <cp:revision>2</cp:revision>
  <dcterms:created xsi:type="dcterms:W3CDTF">2022-06-03T19:34:00Z</dcterms:created>
  <dcterms:modified xsi:type="dcterms:W3CDTF">2022-06-03T19:34:00Z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